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register</w:t>
      </w:r>
    </w:p>
    <w:p>
      <w:pPr>
        <w:pStyle w:val="Subtitle"/>
      </w:pPr>
      <w:r>
        <w:t>Editable sample register entry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One record per system and use</w:t>
            </w:r>
          </w:p>
          <w:p>
            <w:pPr>
              <w:spacing w:after="0"/>
            </w:pPr>
            <w:r>
              <w:t>Copy this entry for each AI system and each materially different use. A tool used for drafting marketing copy may need a different assessment from the same tool used in recruitment. Keep links to evidence rather than duplicating sensitive information in the register.</w:t>
            </w:r>
          </w:p>
        </w:tc>
      </w:tr>
    </w:tbl>
    <w:p>
      <w:pPr>
        <w:spacing w:after="0"/>
      </w:pPr>
    </w:p>
    <w:p>
      <w:pPr>
        <w:pStyle w:val="Heading1"/>
        <w:keepNext w:val="1"/>
        <w:keepLines/>
      </w:pPr>
      <w:r>
        <w:t>1. Identification and ownership</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Register ID and status</w:t>
            </w:r>
          </w:p>
        </w:tc>
        <w:tc>
          <w:tcPr>
            <w:tcW w:type="dxa" w:w="4464000"/>
            <w:tcMar>
              <w:top w:w="95" w:type="dxa"/>
              <w:start w:w="115" w:type="dxa"/>
              <w:bottom w:w="95" w:type="dxa"/>
              <w:end w:w="115" w:type="dxa"/>
            </w:tcMar>
            <w:vAlign w:val="top"/>
            <w:shd w:fill="FFF7D6"/>
          </w:tcPr>
          <w:p>
            <w:pPr>
              <w:spacing w:after="0"/>
            </w:pPr>
            <w:r>
              <w:rPr>
                <w:i/>
                <w:color w:val="5B6973"/>
                <w:sz w:val="17"/>
              </w:rPr>
              <w:t>[ID] — ☐ Proposed  ☐ Trial  ☐ Approved  ☐ Paused  ☐ Retired</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System / product / model</w:t>
            </w:r>
          </w:p>
        </w:tc>
        <w:tc>
          <w:tcPr>
            <w:tcW w:type="dxa" w:w="4464000"/>
            <w:tcMar>
              <w:top w:w="95" w:type="dxa"/>
              <w:start w:w="115" w:type="dxa"/>
              <w:bottom w:w="95" w:type="dxa"/>
              <w:end w:w="115" w:type="dxa"/>
            </w:tcMar>
            <w:vAlign w:val="top"/>
            <w:shd w:fill="FFF7D6"/>
          </w:tcPr>
          <w:p>
            <w:pPr>
              <w:spacing w:after="0"/>
            </w:pPr>
            <w:r>
              <w:rPr>
                <w:i/>
                <w:color w:val="5B6973"/>
                <w:sz w:val="17"/>
              </w:rPr>
              <w:t>[Name, supplier, model and version]</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Approved use</w:t>
            </w:r>
          </w:p>
        </w:tc>
        <w:tc>
          <w:tcPr>
            <w:tcW w:type="dxa" w:w="4464000"/>
            <w:tcMar>
              <w:top w:w="95" w:type="dxa"/>
              <w:start w:w="115" w:type="dxa"/>
              <w:bottom w:w="95" w:type="dxa"/>
              <w:end w:w="115" w:type="dxa"/>
            </w:tcMar>
            <w:vAlign w:val="top"/>
            <w:shd w:fill="FFF7D6"/>
          </w:tcPr>
          <w:p>
            <w:pPr>
              <w:spacing w:after="0"/>
            </w:pPr>
            <w:r>
              <w:rPr>
                <w:i/>
                <w:color w:val="5B6973"/>
                <w:sz w:val="17"/>
              </w:rPr>
              <w:t>[Specific task, workflow or decision supported]</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Business area and locations</w:t>
            </w:r>
          </w:p>
        </w:tc>
        <w:tc>
          <w:tcPr>
            <w:tcW w:type="dxa" w:w="4464000"/>
            <w:tcMar>
              <w:top w:w="95" w:type="dxa"/>
              <w:start w:w="115" w:type="dxa"/>
              <w:bottom w:w="95" w:type="dxa"/>
              <w:end w:w="115" w:type="dxa"/>
            </w:tcMar>
            <w:vAlign w:val="top"/>
            <w:shd w:fill="FFF7D6"/>
          </w:tcPr>
          <w:p>
            <w:pPr>
              <w:spacing w:after="0"/>
            </w:pPr>
            <w:r>
              <w:rPr>
                <w:i/>
                <w:color w:val="5B6973"/>
                <w:sz w:val="17"/>
              </w:rPr>
              <w:t>[Teams, sites and jurisdictions]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Accountable owner</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Operational users</w:t>
            </w:r>
          </w:p>
        </w:tc>
        <w:tc>
          <w:tcPr>
            <w:tcW w:type="dxa" w:w="4464000"/>
            <w:tcMar>
              <w:top w:w="95" w:type="dxa"/>
              <w:start w:w="115" w:type="dxa"/>
              <w:bottom w:w="95" w:type="dxa"/>
              <w:end w:w="115" w:type="dxa"/>
            </w:tcMar>
            <w:vAlign w:val="top"/>
            <w:shd w:fill="FFF7D6"/>
          </w:tcPr>
          <w:p>
            <w:pPr>
              <w:spacing w:after="0"/>
            </w:pPr>
            <w:r>
              <w:rPr>
                <w:i/>
                <w:color w:val="5B6973"/>
                <w:sz w:val="17"/>
              </w:rPr>
              <w:t>[Roles or groups allowed to use it]</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Supplier / contract owner</w:t>
            </w:r>
          </w:p>
        </w:tc>
        <w:tc>
          <w:tcPr>
            <w:tcW w:type="dxa" w:w="4464000"/>
            <w:tcMar>
              <w:top w:w="95" w:type="dxa"/>
              <w:start w:w="115" w:type="dxa"/>
              <w:bottom w:w="95" w:type="dxa"/>
              <w:end w:w="115" w:type="dxa"/>
            </w:tcMar>
            <w:vAlign w:val="top"/>
            <w:shd w:fill="FFF7D6"/>
          </w:tcPr>
          <w:p>
            <w:pPr>
              <w:spacing w:after="0"/>
            </w:pPr>
            <w:r>
              <w:rPr>
                <w:i/>
                <w:color w:val="5B6973"/>
                <w:sz w:val="17"/>
              </w:rPr>
              <w:t>[Supplier and internal contract owner]</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Dates</w:t>
            </w:r>
          </w:p>
        </w:tc>
        <w:tc>
          <w:tcPr>
            <w:tcW w:type="dxa" w:w="4464000"/>
            <w:tcMar>
              <w:top w:w="95" w:type="dxa"/>
              <w:start w:w="115" w:type="dxa"/>
              <w:bottom w:w="95" w:type="dxa"/>
              <w:end w:w="115" w:type="dxa"/>
            </w:tcMar>
            <w:vAlign w:val="top"/>
            <w:shd w:fill="FFF7D6"/>
          </w:tcPr>
          <w:p>
            <w:pPr>
              <w:spacing w:after="0"/>
            </w:pPr>
            <w:r>
              <w:rPr>
                <w:i/>
                <w:color w:val="5B6973"/>
                <w:sz w:val="17"/>
              </w:rPr>
              <w:t>[Added / approved / deployed / last reviewed / next review]</w:t>
            </w:r>
          </w:p>
        </w:tc>
      </w:tr>
    </w:tbl>
    <w:p>
      <w:pPr>
        <w:spacing w:after="0"/>
      </w:pPr>
    </w:p>
    <w:p>
      <w:pPr>
        <w:pStyle w:val="Heading1"/>
        <w:keepNext w:val="1"/>
        <w:keepLines/>
      </w:pPr>
      <w:r>
        <w:t>2. Purpose, capability and limits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Business goal and success measure</w:t>
            </w:r>
          </w:p>
        </w:tc>
        <w:tc>
          <w:tcPr>
            <w:tcW w:type="dxa" w:w="4464000"/>
            <w:tcMar>
              <w:top w:w="95" w:type="dxa"/>
              <w:start w:w="115" w:type="dxa"/>
              <w:bottom w:w="95" w:type="dxa"/>
              <w:end w:w="115" w:type="dxa"/>
            </w:tcMar>
            <w:vAlign w:val="top"/>
            <w:shd w:fill="FFF7D6"/>
          </w:tcPr>
          <w:p>
            <w:pPr>
              <w:spacing w:after="0"/>
            </w:pPr>
            <w:r>
              <w:rPr>
                <w:i/>
                <w:color w:val="5B6973"/>
                <w:sz w:val="17"/>
              </w:rPr>
              <w:t>[Why it is used and how value will be measured]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Capability</w:t>
            </w:r>
          </w:p>
        </w:tc>
        <w:tc>
          <w:tcPr>
            <w:tcW w:type="dxa" w:w="4464000"/>
            <w:tcMar>
              <w:top w:w="95" w:type="dxa"/>
              <w:start w:w="115" w:type="dxa"/>
              <w:bottom w:w="95" w:type="dxa"/>
              <w:end w:w="115" w:type="dxa"/>
            </w:tcMar>
            <w:vAlign w:val="top"/>
            <w:shd w:fill="FFF7D6"/>
          </w:tcPr>
          <w:p>
            <w:pPr>
              <w:spacing w:after="0"/>
            </w:pPr>
            <w:r>
              <w:rPr>
                <w:i/>
                <w:color w:val="5B6973"/>
                <w:sz w:val="17"/>
              </w:rPr>
              <w:t>[What the system does and key components or integrations]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Approved inputs and outputs</w:t>
            </w:r>
          </w:p>
        </w:tc>
        <w:tc>
          <w:tcPr>
            <w:tcW w:type="dxa" w:w="4464000"/>
            <w:tcMar>
              <w:top w:w="95" w:type="dxa"/>
              <w:start w:w="115" w:type="dxa"/>
              <w:bottom w:w="95" w:type="dxa"/>
              <w:end w:w="115" w:type="dxa"/>
            </w:tcMar>
            <w:vAlign w:val="top"/>
            <w:shd w:fill="FFF7D6"/>
          </w:tcPr>
          <w:p>
            <w:pPr>
              <w:spacing w:after="0"/>
            </w:pPr>
            <w:r>
              <w:rPr>
                <w:i/>
                <w:color w:val="5B6973"/>
                <w:sz w:val="17"/>
              </w:rPr>
              <w:t>[Data types, sources, outputs and permitted recipients]</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Limitations and excluded uses</w:t>
            </w:r>
          </w:p>
        </w:tc>
        <w:tc>
          <w:tcPr>
            <w:tcW w:type="dxa" w:w="4464000"/>
            <w:tcMar>
              <w:top w:w="95" w:type="dxa"/>
              <w:start w:w="115" w:type="dxa"/>
              <w:bottom w:w="95" w:type="dxa"/>
              <w:end w:w="115" w:type="dxa"/>
            </w:tcMar>
            <w:vAlign w:val="top"/>
            <w:shd w:fill="FFF7D6"/>
          </w:tcPr>
          <w:p>
            <w:pPr>
              <w:spacing w:after="0"/>
            </w:pPr>
            <w:r>
              <w:rPr>
                <w:i/>
                <w:color w:val="5B6973"/>
                <w:sz w:val="17"/>
              </w:rPr>
              <w:t>[Known limitations, prohibited contexts and foreseeable misuse]</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Human oversight</w:t>
            </w:r>
          </w:p>
        </w:tc>
        <w:tc>
          <w:tcPr>
            <w:tcW w:type="dxa" w:w="4464000"/>
            <w:tcMar>
              <w:top w:w="95" w:type="dxa"/>
              <w:start w:w="115" w:type="dxa"/>
              <w:bottom w:w="95" w:type="dxa"/>
              <w:end w:w="115" w:type="dxa"/>
            </w:tcMar>
            <w:vAlign w:val="top"/>
            <w:shd w:fill="FFF7D6"/>
          </w:tcPr>
          <w:p>
            <w:pPr>
              <w:spacing w:after="0"/>
            </w:pPr>
            <w:r>
              <w:rPr>
                <w:i/>
                <w:color w:val="5B6973"/>
                <w:sz w:val="17"/>
              </w:rPr>
              <w:t>[Who reviews, can override, pause or stop, and when]</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Alternative / continuity process</w:t>
            </w:r>
          </w:p>
        </w:tc>
        <w:tc>
          <w:tcPr>
            <w:tcW w:type="dxa" w:w="4464000"/>
            <w:tcMar>
              <w:top w:w="95" w:type="dxa"/>
              <w:start w:w="115" w:type="dxa"/>
              <w:bottom w:w="95" w:type="dxa"/>
              <w:end w:w="115" w:type="dxa"/>
            </w:tcMar>
            <w:vAlign w:val="top"/>
            <w:shd w:fill="FFF7D6"/>
          </w:tcPr>
          <w:p>
            <w:pPr>
              <w:spacing w:after="0"/>
            </w:pPr>
            <w:r>
              <w:rPr>
                <w:i/>
                <w:color w:val="5B6973"/>
                <w:sz w:val="17"/>
              </w:rPr>
              <w:t>[What happens if the system is unavailable, unsafe or retired]</w:t>
            </w:r>
          </w:p>
        </w:tc>
      </w:tr>
    </w:tbl>
    <w:p>
      <w:pPr>
        <w:spacing w:after="0"/>
      </w:pPr>
    </w:p>
    <w:p>
      <w:r>
        <w:br w:type="page"/>
      </w:r>
    </w:p>
    <w:p>
      <w:pPr>
        <w:pStyle w:val="Heading1"/>
        <w:keepNext w:val="1"/>
        <w:keepLines/>
      </w:pPr>
      <w:r>
        <w:t>3. People, information and risk</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296000"/>
            <w:shd w:fill="17324D"/>
            <w:tcMar>
              <w:top w:w="105" w:type="dxa"/>
              <w:start w:w="115" w:type="dxa"/>
              <w:bottom w:w="105" w:type="dxa"/>
              <w:end w:w="115" w:type="dxa"/>
            </w:tcMar>
            <w:vAlign w:val="center"/>
          </w:tcPr>
          <w:p>
            <w:pPr>
              <w:spacing w:after="0"/>
              <w:jc w:val="left"/>
            </w:pPr>
            <w:r>
              <w:rPr>
                <w:b/>
                <w:color w:val="FFFFFF"/>
                <w:sz w:val="17"/>
              </w:rPr>
              <w:t>Area</w:t>
            </w:r>
          </w:p>
        </w:tc>
        <w:tc>
          <w:tcPr>
            <w:tcW w:type="dxa" w:w="2628000"/>
            <w:shd w:fill="17324D"/>
            <w:tcMar>
              <w:top w:w="105" w:type="dxa"/>
              <w:start w:w="115" w:type="dxa"/>
              <w:bottom w:w="105" w:type="dxa"/>
              <w:end w:w="115" w:type="dxa"/>
            </w:tcMar>
            <w:vAlign w:val="center"/>
          </w:tcPr>
          <w:p>
            <w:pPr>
              <w:spacing w:after="0"/>
              <w:jc w:val="left"/>
            </w:pPr>
            <w:r>
              <w:rPr>
                <w:b/>
                <w:color w:val="FFFFFF"/>
                <w:sz w:val="17"/>
              </w:rPr>
              <w:t>Register entry</w:t>
            </w:r>
          </w:p>
        </w:tc>
        <w:tc>
          <w:tcPr>
            <w:tcW w:type="dxa" w:w="2412000"/>
            <w:shd w:fill="17324D"/>
            <w:tcMar>
              <w:top w:w="105" w:type="dxa"/>
              <w:start w:w="115" w:type="dxa"/>
              <w:bottom w:w="105" w:type="dxa"/>
              <w:end w:w="115" w:type="dxa"/>
            </w:tcMar>
            <w:vAlign w:val="center"/>
          </w:tcPr>
          <w:p>
            <w:pPr>
              <w:spacing w:after="0"/>
              <w:jc w:val="left"/>
            </w:pPr>
            <w:r>
              <w:rPr>
                <w:b/>
                <w:color w:val="FFFFFF"/>
                <w:sz w:val="17"/>
              </w:rPr>
              <w:t>Evidence / linked record</w:t>
            </w:r>
          </w:p>
        </w:tc>
      </w:tr>
      <w:tr>
        <w:trPr>
          <w:cantSplit/>
          <w:trHeight w:val="567" w:hRule="atLeast"/>
        </w:trPr>
        <w:tc>
          <w:tcPr>
            <w:tcW w:type="dxa" w:w="1296000"/>
            <w:tcMar>
              <w:top w:w="95" w:type="dxa"/>
              <w:start w:w="115" w:type="dxa"/>
              <w:bottom w:w="95" w:type="dxa"/>
              <w:end w:w="115" w:type="dxa"/>
            </w:tcMar>
            <w:vAlign w:val="top"/>
          </w:tcPr>
          <w:p>
            <w:pPr>
              <w:spacing w:after="0"/>
            </w:pPr>
            <w:r>
              <w:rPr>
                <w:b/>
                <w:sz w:val="17"/>
              </w:rPr>
              <w:t>Affected people</w:t>
            </w:r>
          </w:p>
        </w:tc>
        <w:tc>
          <w:tcPr>
            <w:tcW w:type="dxa" w:w="2628000"/>
            <w:tcMar>
              <w:top w:w="95" w:type="dxa"/>
              <w:start w:w="115" w:type="dxa"/>
              <w:bottom w:w="95" w:type="dxa"/>
              <w:end w:w="115" w:type="dxa"/>
            </w:tcMar>
            <w:vAlign w:val="top"/>
            <w:shd w:fill="FFF7D6"/>
          </w:tcPr>
          <w:p>
            <w:pPr>
              <w:spacing w:after="0"/>
            </w:pPr>
            <w:r>
              <w:rPr>
                <w:i/>
                <w:color w:val="5B6973"/>
                <w:sz w:val="17"/>
              </w:rPr>
              <w:t>[Workers, applicants, customers, community or other groups]</w:t>
            </w:r>
          </w:p>
        </w:tc>
        <w:tc>
          <w:tcPr>
            <w:tcW w:type="dxa" w:w="2412000"/>
            <w:tcMar>
              <w:top w:w="95" w:type="dxa"/>
              <w:start w:w="115" w:type="dxa"/>
              <w:bottom w:w="95" w:type="dxa"/>
              <w:end w:w="115" w:type="dxa"/>
            </w:tcMar>
            <w:vAlign w:val="top"/>
            <w:shd w:fill="FFF7D6"/>
          </w:tcPr>
          <w:p>
            <w:pPr>
              <w:spacing w:after="0"/>
            </w:pPr>
            <w:r>
              <w:rPr>
                <w:i/>
                <w:color w:val="5B6973"/>
                <w:sz w:val="17"/>
              </w:rPr>
              <w:t>[Consultation or stakeholder record]</w:t>
            </w:r>
          </w:p>
        </w:tc>
      </w:tr>
      <w:tr>
        <w:trPr>
          <w:cantSplit/>
          <w:trHeight w:val="567" w:hRule="atLeast"/>
        </w:trPr>
        <w:tc>
          <w:tcPr>
            <w:tcW w:type="dxa" w:w="1296000"/>
            <w:tcMar>
              <w:top w:w="95" w:type="dxa"/>
              <w:start w:w="115" w:type="dxa"/>
              <w:bottom w:w="95" w:type="dxa"/>
              <w:end w:w="115" w:type="dxa"/>
            </w:tcMar>
            <w:vAlign w:val="top"/>
            <w:shd w:fill="F3F5F7"/>
          </w:tcPr>
          <w:p>
            <w:pPr>
              <w:spacing w:after="0"/>
            </w:pPr>
            <w:r>
              <w:rPr>
                <w:b/>
                <w:sz w:val="17"/>
              </w:rPr>
              <w:t>Personal or sensitive information</w:t>
            </w:r>
          </w:p>
        </w:tc>
        <w:tc>
          <w:tcPr>
            <w:tcW w:type="dxa" w:w="2628000"/>
            <w:tcMar>
              <w:top w:w="95" w:type="dxa"/>
              <w:start w:w="115" w:type="dxa"/>
              <w:bottom w:w="95" w:type="dxa"/>
              <w:end w:w="115" w:type="dxa"/>
            </w:tcMar>
            <w:vAlign w:val="top"/>
            <w:shd w:fill="FFF7D6"/>
          </w:tcPr>
          <w:p>
            <w:pPr>
              <w:spacing w:after="0"/>
            </w:pPr>
            <w:r>
              <w:rPr>
                <w:sz w:val="17"/>
              </w:rPr>
              <w:t>☐ None  ☐ Personal  ☐ Sensitive  ☐ Employee  ☐ Health  ☐ Other</w:t>
            </w:r>
          </w:p>
        </w:tc>
        <w:tc>
          <w:tcPr>
            <w:tcW w:type="dxa" w:w="2412000"/>
            <w:tcMar>
              <w:top w:w="95" w:type="dxa"/>
              <w:start w:w="115" w:type="dxa"/>
              <w:bottom w:w="95" w:type="dxa"/>
              <w:end w:w="115" w:type="dxa"/>
            </w:tcMar>
            <w:vAlign w:val="top"/>
            <w:shd w:fill="FFF7D6"/>
          </w:tcPr>
          <w:p>
            <w:pPr>
              <w:spacing w:after="0"/>
            </w:pPr>
            <w:r>
              <w:rPr>
                <w:i/>
                <w:color w:val="5B6973"/>
                <w:sz w:val="17"/>
              </w:rPr>
              <w:t>[Privacy assessment, notices, lawful basis and controls]</w:t>
            </w:r>
          </w:p>
        </w:tc>
      </w:tr>
      <w:tr>
        <w:trPr>
          <w:cantSplit/>
          <w:trHeight w:val="567" w:hRule="atLeast"/>
        </w:trPr>
        <w:tc>
          <w:tcPr>
            <w:tcW w:type="dxa" w:w="1296000"/>
            <w:tcMar>
              <w:top w:w="95" w:type="dxa"/>
              <w:start w:w="115" w:type="dxa"/>
              <w:bottom w:w="95" w:type="dxa"/>
              <w:end w:w="115" w:type="dxa"/>
            </w:tcMar>
            <w:vAlign w:val="top"/>
          </w:tcPr>
          <w:p>
            <w:pPr>
              <w:spacing w:after="0"/>
            </w:pPr>
            <w:r>
              <w:rPr>
                <w:b/>
                <w:sz w:val="17"/>
              </w:rPr>
              <w:t>Significant decisions</w:t>
            </w:r>
          </w:p>
        </w:tc>
        <w:tc>
          <w:tcPr>
            <w:tcW w:type="dxa" w:w="2628000"/>
            <w:tcMar>
              <w:top w:w="95" w:type="dxa"/>
              <w:start w:w="115" w:type="dxa"/>
              <w:bottom w:w="95" w:type="dxa"/>
              <w:end w:w="115" w:type="dxa"/>
            </w:tcMar>
            <w:vAlign w:val="top"/>
            <w:shd w:fill="FFF7D6"/>
          </w:tcPr>
          <w:p>
            <w:pPr>
              <w:spacing w:after="0"/>
            </w:pPr>
            <w:r>
              <w:rPr>
                <w:i/>
                <w:color w:val="5B6973"/>
                <w:sz w:val="17"/>
              </w:rPr>
              <w:t>[Does it make or substantially inform decisions affecting rights or interests?]</w:t>
            </w:r>
          </w:p>
        </w:tc>
        <w:tc>
          <w:tcPr>
            <w:tcW w:type="dxa" w:w="2412000"/>
            <w:tcMar>
              <w:top w:w="95" w:type="dxa"/>
              <w:start w:w="115" w:type="dxa"/>
              <w:bottom w:w="95" w:type="dxa"/>
              <w:end w:w="115" w:type="dxa"/>
            </w:tcMar>
            <w:vAlign w:val="top"/>
            <w:shd w:fill="FFF7D6"/>
          </w:tcPr>
          <w:p>
            <w:pPr>
              <w:spacing w:after="0"/>
            </w:pPr>
            <w:r>
              <w:rPr>
                <w:i/>
                <w:color w:val="5B6973"/>
                <w:sz w:val="17"/>
              </w:rPr>
              <w:t>[Automated decision inventory / human-review process]</w:t>
            </w:r>
          </w:p>
        </w:tc>
      </w:tr>
      <w:tr>
        <w:trPr>
          <w:cantSplit/>
          <w:trHeight w:val="567" w:hRule="atLeast"/>
        </w:trPr>
        <w:tc>
          <w:tcPr>
            <w:tcW w:type="dxa" w:w="1296000"/>
            <w:tcMar>
              <w:top w:w="95" w:type="dxa"/>
              <w:start w:w="115" w:type="dxa"/>
              <w:bottom w:w="95" w:type="dxa"/>
              <w:end w:w="115" w:type="dxa"/>
            </w:tcMar>
            <w:vAlign w:val="top"/>
            <w:shd w:fill="F3F5F7"/>
          </w:tcPr>
          <w:p>
            <w:pPr>
              <w:spacing w:after="0"/>
            </w:pPr>
            <w:r>
              <w:rPr>
                <w:b/>
                <w:sz w:val="17"/>
              </w:rPr>
              <w:t>WHS and work design</w:t>
            </w:r>
          </w:p>
        </w:tc>
        <w:tc>
          <w:tcPr>
            <w:tcW w:type="dxa" w:w="2628000"/>
            <w:tcMar>
              <w:top w:w="95" w:type="dxa"/>
              <w:start w:w="115" w:type="dxa"/>
              <w:bottom w:w="95" w:type="dxa"/>
              <w:end w:w="115" w:type="dxa"/>
            </w:tcMar>
            <w:vAlign w:val="top"/>
            <w:shd w:fill="FFF7D6"/>
          </w:tcPr>
          <w:p>
            <w:pPr>
              <w:spacing w:after="0"/>
            </w:pPr>
            <w:r>
              <w:rPr>
                <w:i/>
                <w:color w:val="5B6973"/>
                <w:sz w:val="17"/>
              </w:rPr>
              <w:t>[Physical or psychosocial risks and opportunities]</w:t>
            </w:r>
          </w:p>
        </w:tc>
        <w:tc>
          <w:tcPr>
            <w:tcW w:type="dxa" w:w="2412000"/>
            <w:tcMar>
              <w:top w:w="95" w:type="dxa"/>
              <w:start w:w="115" w:type="dxa"/>
              <w:bottom w:w="95" w:type="dxa"/>
              <w:end w:w="115" w:type="dxa"/>
            </w:tcMar>
            <w:vAlign w:val="top"/>
            <w:shd w:fill="FFF7D6"/>
          </w:tcPr>
          <w:p>
            <w:pPr>
              <w:spacing w:after="0"/>
            </w:pPr>
            <w:r>
              <w:rPr>
                <w:i/>
                <w:color w:val="5B6973"/>
                <w:sz w:val="17"/>
              </w:rPr>
              <w:t>[WHS assessment and consultation]</w:t>
            </w:r>
          </w:p>
        </w:tc>
      </w:tr>
      <w:tr>
        <w:trPr>
          <w:cantSplit/>
          <w:trHeight w:val="567" w:hRule="atLeast"/>
        </w:trPr>
        <w:tc>
          <w:tcPr>
            <w:tcW w:type="dxa" w:w="1296000"/>
            <w:tcMar>
              <w:top w:w="95" w:type="dxa"/>
              <w:start w:w="115" w:type="dxa"/>
              <w:bottom w:w="95" w:type="dxa"/>
              <w:end w:w="115" w:type="dxa"/>
            </w:tcMar>
            <w:vAlign w:val="top"/>
          </w:tcPr>
          <w:p>
            <w:pPr>
              <w:spacing w:after="0"/>
            </w:pPr>
            <w:r>
              <w:rPr>
                <w:b/>
                <w:sz w:val="17"/>
              </w:rPr>
              <w:t>Fairness and accessibility</w:t>
            </w:r>
          </w:p>
        </w:tc>
        <w:tc>
          <w:tcPr>
            <w:tcW w:type="dxa" w:w="2628000"/>
            <w:tcMar>
              <w:top w:w="95" w:type="dxa"/>
              <w:start w:w="115" w:type="dxa"/>
              <w:bottom w:w="95" w:type="dxa"/>
              <w:end w:w="115" w:type="dxa"/>
            </w:tcMar>
            <w:vAlign w:val="top"/>
            <w:shd w:fill="FFF7D6"/>
          </w:tcPr>
          <w:p>
            <w:pPr>
              <w:spacing w:after="0"/>
            </w:pPr>
            <w:r>
              <w:rPr>
                <w:i/>
                <w:color w:val="5B6973"/>
                <w:sz w:val="17"/>
              </w:rPr>
              <w:t>[Potential bias, discrimination, exclusion or accessibility issues]</w:t>
            </w:r>
          </w:p>
        </w:tc>
        <w:tc>
          <w:tcPr>
            <w:tcW w:type="dxa" w:w="2412000"/>
            <w:tcMar>
              <w:top w:w="95" w:type="dxa"/>
              <w:start w:w="115" w:type="dxa"/>
              <w:bottom w:w="95" w:type="dxa"/>
              <w:end w:w="115" w:type="dxa"/>
            </w:tcMar>
            <w:vAlign w:val="top"/>
            <w:shd w:fill="FFF7D6"/>
          </w:tcPr>
          <w:p>
            <w:pPr>
              <w:spacing w:after="0"/>
            </w:pPr>
            <w:r>
              <w:rPr>
                <w:i/>
                <w:color w:val="5B6973"/>
                <w:sz w:val="17"/>
              </w:rPr>
              <w:t>[Tests, adjustments and review]</w:t>
            </w:r>
          </w:p>
        </w:tc>
      </w:tr>
      <w:tr>
        <w:trPr>
          <w:cantSplit/>
          <w:trHeight w:val="567" w:hRule="atLeast"/>
        </w:trPr>
        <w:tc>
          <w:tcPr>
            <w:tcW w:type="dxa" w:w="1296000"/>
            <w:tcMar>
              <w:top w:w="95" w:type="dxa"/>
              <w:start w:w="115" w:type="dxa"/>
              <w:bottom w:w="95" w:type="dxa"/>
              <w:end w:w="115" w:type="dxa"/>
            </w:tcMar>
            <w:vAlign w:val="top"/>
            <w:shd w:fill="F3F5F7"/>
          </w:tcPr>
          <w:p>
            <w:pPr>
              <w:spacing w:after="0"/>
            </w:pPr>
            <w:r>
              <w:rPr>
                <w:b/>
                <w:sz w:val="17"/>
              </w:rPr>
              <w:t>Security and resilience</w:t>
            </w:r>
          </w:p>
        </w:tc>
        <w:tc>
          <w:tcPr>
            <w:tcW w:type="dxa" w:w="2628000"/>
            <w:tcMar>
              <w:top w:w="95" w:type="dxa"/>
              <w:start w:w="115" w:type="dxa"/>
              <w:bottom w:w="95" w:type="dxa"/>
              <w:end w:w="115" w:type="dxa"/>
            </w:tcMar>
            <w:vAlign w:val="top"/>
            <w:shd w:fill="FFF7D6"/>
          </w:tcPr>
          <w:p>
            <w:pPr>
              <w:spacing w:after="0"/>
            </w:pPr>
            <w:r>
              <w:rPr>
                <w:i/>
                <w:color w:val="5B6973"/>
                <w:sz w:val="17"/>
              </w:rPr>
              <w:t>[Access, integrations, hosting, threats, incident response and recovery]</w:t>
            </w:r>
          </w:p>
        </w:tc>
        <w:tc>
          <w:tcPr>
            <w:tcW w:type="dxa" w:w="2412000"/>
            <w:tcMar>
              <w:top w:w="95" w:type="dxa"/>
              <w:start w:w="115" w:type="dxa"/>
              <w:bottom w:w="95" w:type="dxa"/>
              <w:end w:w="115" w:type="dxa"/>
            </w:tcMar>
            <w:vAlign w:val="top"/>
            <w:shd w:fill="FFF7D6"/>
          </w:tcPr>
          <w:p>
            <w:pPr>
              <w:spacing w:after="0"/>
            </w:pPr>
            <w:r>
              <w:rPr>
                <w:i/>
                <w:color w:val="5B6973"/>
                <w:sz w:val="17"/>
              </w:rPr>
              <w:t>[Security review and supplier evidence]</w:t>
            </w:r>
          </w:p>
        </w:tc>
      </w:tr>
      <w:tr>
        <w:trPr>
          <w:cantSplit/>
          <w:trHeight w:val="567" w:hRule="atLeast"/>
        </w:trPr>
        <w:tc>
          <w:tcPr>
            <w:tcW w:type="dxa" w:w="1296000"/>
            <w:tcMar>
              <w:top w:w="95" w:type="dxa"/>
              <w:start w:w="115" w:type="dxa"/>
              <w:bottom w:w="95" w:type="dxa"/>
              <w:end w:w="115" w:type="dxa"/>
            </w:tcMar>
            <w:vAlign w:val="top"/>
          </w:tcPr>
          <w:p>
            <w:pPr>
              <w:spacing w:after="0"/>
            </w:pPr>
            <w:r>
              <w:rPr>
                <w:b/>
                <w:sz w:val="17"/>
              </w:rPr>
              <w:t>Risk rating</w:t>
            </w:r>
          </w:p>
        </w:tc>
        <w:tc>
          <w:tcPr>
            <w:tcW w:type="dxa" w:w="2628000"/>
            <w:tcMar>
              <w:top w:w="95" w:type="dxa"/>
              <w:start w:w="115" w:type="dxa"/>
              <w:bottom w:w="95" w:type="dxa"/>
              <w:end w:w="115" w:type="dxa"/>
            </w:tcMar>
            <w:vAlign w:val="top"/>
            <w:shd w:fill="FFF7D6"/>
          </w:tcPr>
          <w:p>
            <w:pPr>
              <w:spacing w:after="0"/>
            </w:pPr>
            <w:r>
              <w:rPr>
                <w:i/>
                <w:color w:val="5B6973"/>
                <w:sz w:val="17"/>
              </w:rPr>
              <w:t>[Initial and residual rating using organisation method]</w:t>
            </w:r>
          </w:p>
        </w:tc>
        <w:tc>
          <w:tcPr>
            <w:tcW w:type="dxa" w:w="2412000"/>
            <w:tcMar>
              <w:top w:w="95" w:type="dxa"/>
              <w:start w:w="115" w:type="dxa"/>
              <w:bottom w:w="95" w:type="dxa"/>
              <w:end w:w="115" w:type="dxa"/>
            </w:tcMar>
            <w:vAlign w:val="top"/>
            <w:shd w:fill="FFF7D6"/>
          </w:tcPr>
          <w:p>
            <w:pPr>
              <w:spacing w:after="0"/>
            </w:pPr>
            <w:r>
              <w:rPr>
                <w:i/>
                <w:color w:val="5B6973"/>
                <w:sz w:val="17"/>
              </w:rPr>
              <w:t>[Impact/risk assessment and treatment plan]</w:t>
            </w:r>
          </w:p>
        </w:tc>
      </w:tr>
    </w:tbl>
    <w:p>
      <w:pPr>
        <w:spacing w:after="0"/>
      </w:pPr>
    </w:p>
    <w:p>
      <w:pPr>
        <w:pStyle w:val="Heading1"/>
        <w:keepNext w:val="1"/>
        <w:keepLines/>
      </w:pPr>
      <w:r>
        <w:t>4. Controls, testing and monitoring</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Key controls</w:t>
            </w:r>
          </w:p>
        </w:tc>
        <w:tc>
          <w:tcPr>
            <w:tcW w:type="dxa" w:w="4464000"/>
            <w:tcMar>
              <w:top w:w="95" w:type="dxa"/>
              <w:start w:w="115" w:type="dxa"/>
              <w:bottom w:w="95" w:type="dxa"/>
              <w:end w:w="115" w:type="dxa"/>
            </w:tcMar>
            <w:vAlign w:val="top"/>
            <w:shd w:fill="FFF7D6"/>
          </w:tcPr>
          <w:p>
            <w:pPr>
              <w:spacing w:after="0"/>
            </w:pPr>
            <w:r>
              <w:rPr>
                <w:i/>
                <w:color w:val="5B6973"/>
                <w:sz w:val="17"/>
              </w:rPr>
              <w:t>[Data, access, approval, human review, disclosure, logging, safety and other controls]</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Acceptance criteria and tests</w:t>
            </w:r>
          </w:p>
        </w:tc>
        <w:tc>
          <w:tcPr>
            <w:tcW w:type="dxa" w:w="4464000"/>
            <w:tcMar>
              <w:top w:w="95" w:type="dxa"/>
              <w:start w:w="115" w:type="dxa"/>
              <w:bottom w:w="95" w:type="dxa"/>
              <w:end w:w="115" w:type="dxa"/>
            </w:tcMar>
            <w:vAlign w:val="top"/>
            <w:shd w:fill="FFF7D6"/>
          </w:tcPr>
          <w:p>
            <w:pPr>
              <w:spacing w:after="0"/>
            </w:pPr>
            <w:r>
              <w:rPr>
                <w:i/>
                <w:color w:val="5B6973"/>
                <w:sz w:val="17"/>
              </w:rPr>
              <w:t>[What was tested, representative groups, results and approval]</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Training and instructions</w:t>
            </w:r>
          </w:p>
        </w:tc>
        <w:tc>
          <w:tcPr>
            <w:tcW w:type="dxa" w:w="4464000"/>
            <w:tcMar>
              <w:top w:w="95" w:type="dxa"/>
              <w:start w:w="115" w:type="dxa"/>
              <w:bottom w:w="95" w:type="dxa"/>
              <w:end w:w="115" w:type="dxa"/>
            </w:tcMar>
            <w:vAlign w:val="top"/>
            <w:shd w:fill="FFF7D6"/>
          </w:tcPr>
          <w:p>
            <w:pPr>
              <w:spacing w:after="0"/>
            </w:pPr>
            <w:r>
              <w:rPr>
                <w:i/>
                <w:color w:val="5B6973"/>
                <w:sz w:val="17"/>
              </w:rPr>
              <w:t>[Required training, users and completion record]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Monitoring</w:t>
            </w:r>
          </w:p>
        </w:tc>
        <w:tc>
          <w:tcPr>
            <w:tcW w:type="dxa" w:w="4464000"/>
            <w:tcMar>
              <w:top w:w="95" w:type="dxa"/>
              <w:start w:w="115" w:type="dxa"/>
              <w:bottom w:w="95" w:type="dxa"/>
              <w:end w:w="115" w:type="dxa"/>
            </w:tcMar>
            <w:vAlign w:val="top"/>
            <w:shd w:fill="FFF7D6"/>
          </w:tcPr>
          <w:p>
            <w:pPr>
              <w:spacing w:after="0"/>
            </w:pPr>
            <w:r>
              <w:rPr>
                <w:i/>
                <w:color w:val="5B6973"/>
                <w:sz w:val="17"/>
              </w:rPr>
              <w:t>[Measures, thresholds, review frequency, feedback and incident channels]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Change management</w:t>
            </w:r>
          </w:p>
        </w:tc>
        <w:tc>
          <w:tcPr>
            <w:tcW w:type="dxa" w:w="4464000"/>
            <w:tcMar>
              <w:top w:w="95" w:type="dxa"/>
              <w:start w:w="115" w:type="dxa"/>
              <w:bottom w:w="95" w:type="dxa"/>
              <w:end w:w="115" w:type="dxa"/>
            </w:tcMar>
            <w:vAlign w:val="top"/>
            <w:shd w:fill="FFF7D6"/>
          </w:tcPr>
          <w:p>
            <w:pPr>
              <w:spacing w:after="0"/>
            </w:pPr>
            <w:r>
              <w:rPr>
                <w:i/>
                <w:color w:val="5B6973"/>
                <w:sz w:val="17"/>
              </w:rPr>
              <w:t>[How supplier, model, data, configuration and use changes are assessed]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Records and retention</w:t>
            </w:r>
          </w:p>
        </w:tc>
        <w:tc>
          <w:tcPr>
            <w:tcW w:type="dxa" w:w="4464000"/>
            <w:tcMar>
              <w:top w:w="95" w:type="dxa"/>
              <w:start w:w="115" w:type="dxa"/>
              <w:bottom w:w="95" w:type="dxa"/>
              <w:end w:w="115" w:type="dxa"/>
            </w:tcMar>
            <w:vAlign w:val="top"/>
            <w:shd w:fill="FFF7D6"/>
          </w:tcPr>
          <w:p>
            <w:pPr>
              <w:spacing w:after="0"/>
            </w:pPr>
            <w:r>
              <w:rPr>
                <w:i/>
                <w:color w:val="5B6973"/>
                <w:sz w:val="17"/>
              </w:rPr>
              <w:t>[Logs, decisions, prompts/outputs, approvals, location and retention]</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Exit / retirement</w:t>
            </w:r>
          </w:p>
        </w:tc>
        <w:tc>
          <w:tcPr>
            <w:tcW w:type="dxa" w:w="4464000"/>
            <w:tcMar>
              <w:top w:w="95" w:type="dxa"/>
              <w:start w:w="115" w:type="dxa"/>
              <w:bottom w:w="95" w:type="dxa"/>
              <w:end w:w="115" w:type="dxa"/>
            </w:tcMar>
            <w:vAlign w:val="top"/>
            <w:shd w:fill="FFF7D6"/>
          </w:tcPr>
          <w:p>
            <w:pPr>
              <w:spacing w:after="0"/>
            </w:pPr>
            <w:r>
              <w:rPr>
                <w:i/>
                <w:color w:val="5B6973"/>
                <w:sz w:val="17"/>
              </w:rPr>
              <w:t>[Notice, data export/return/deletion, records, access removal and replacement]</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br w:type="page"/>
      </w:r>
      <w:r>
        <w:t>Register maintenance check</w:t>
      </w:r>
    </w:p>
    <w:p>
      <w:pPr>
        <w:spacing w:after="60"/>
        <w:ind w:left="57"/>
        <w:keepLines/>
      </w:pPr>
      <w:r>
        <w:rPr>
          <w:b/>
        </w:rPr>
        <w:t xml:space="preserve">☐  </w:t>
      </w:r>
      <w:r>
        <w:t>The accountable owner, approved use, users, risk rating and linked evidence are current.</w:t>
      </w:r>
    </w:p>
    <w:p>
      <w:pPr>
        <w:spacing w:after="60"/>
        <w:ind w:left="57"/>
        <w:keepLines/>
      </w:pPr>
      <w:r>
        <w:rPr>
          <w:b/>
        </w:rPr>
        <w:t xml:space="preserve">☐  </w:t>
      </w:r>
      <w:r>
        <w:t>Material changes to the model, supplier, data, configuration or use trigger reassessment before use continues.</w:t>
      </w:r>
    </w:p>
    <w:p>
      <w:pPr>
        <w:spacing w:after="60"/>
        <w:ind w:left="57"/>
        <w:keepLines/>
      </w:pPr>
      <w:r>
        <w:rPr>
          <w:b/>
        </w:rPr>
        <w:t xml:space="preserve">☐  </w:t>
      </w:r>
      <w:r>
        <w:t>Monitoring, feedback, incidents, review dates and decisions are recorded.</w:t>
      </w:r>
    </w:p>
    <w:p>
      <w:pPr>
        <w:spacing w:after="60"/>
        <w:ind w:left="57"/>
        <w:keepLines/>
      </w:pPr>
      <w:r>
        <w:rPr>
          <w:b/>
        </w:rPr>
        <w:t xml:space="preserve">☐  </w:t>
      </w:r>
      <w:r>
        <w:t>Paused or retired systems have access removed and data, records and continuity actions completed.</w:t>
      </w: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Safe Work Australia — Artificial intelligence and digital technologies</w:t>
        </w:r>
      </w:hyperlink>
    </w:p>
    <w:p>
      <w:pPr>
        <w:pStyle w:val="ListBullet"/>
        <w:spacing w:after="10"/>
      </w:pPr>
      <w:hyperlink r:id="rId14">
        <w:r>
          <w:rPr>
            <w:color w:val="176B87"/>
            <w:u w:val="single"/>
          </w:rPr>
          <w:t>OAIC — APP 1.7–1.9 transparency obligation for automated decision-making</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use register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safeworkaustralia.gov.au/safety-topic/hazards/digital-technologies-ai" TargetMode="External"/><Relationship Id="rId14" Type="http://schemas.openxmlformats.org/officeDocument/2006/relationships/hyperlink" Target="https://www.oaic.gov.au/news/media-centre/new-resources-on-transparency-for-use-of-ai-and-automated-decision-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register</dc:title>
  <dc:subject>Maintain an accountable record of each AI system and approved use</dc:subject>
  <dc:creator>Workplace AI Governance</dc:creator>
  <cp:keywords>AI register, inventory, system owner, Australian business, AI governance</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