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Shadow AI policy and worker acknowledgement</w:t>
      </w:r>
    </w:p>
    <w:p>
      <w:pPr>
        <w:pStyle w:val="Subtitle"/>
      </w:pPr>
      <w:r>
        <w:t>Editable sample policy for Australian workplaces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p>
      <w:pPr>
        <w:pStyle w:val="Heading1"/>
        <w:keepNext w:val="1"/>
        <w:keepLines/>
      </w:pPr>
      <w:r>
        <w:t>Document details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Organisation</w:t>
            </w:r>
          </w:p>
        </w:tc>
        <w:tc>
          <w:tcPr>
            <w:tcW w:type="dxa" w:w="4464000"/>
            <w:tcMar>
              <w:top w:w="95" w:type="dxa"/>
              <w:start w:w="115" w:type="dxa"/>
              <w:bottom w:w="95" w:type="dxa"/>
              <w:end w:w="115" w:type="dxa"/>
            </w:tcMar>
            <w:vAlign w:val="top"/>
            <w:shd w:fill="FFF7D6"/>
          </w:tcPr>
          <w:p>
            <w:pPr>
              <w:spacing w:after="0"/>
            </w:pPr>
            <w:r>
              <w:rPr>
                <w:i/>
                <w:color w:val="5B6973"/>
                <w:sz w:val="17"/>
              </w:rPr>
              <w:t>[Enter organisation name]</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Policy owner</w:t>
            </w:r>
          </w:p>
        </w:tc>
        <w:tc>
          <w:tcPr>
            <w:tcW w:type="dxa" w:w="4464000"/>
            <w:tcMar>
              <w:top w:w="95" w:type="dxa"/>
              <w:start w:w="115" w:type="dxa"/>
              <w:bottom w:w="95" w:type="dxa"/>
              <w:end w:w="115" w:type="dxa"/>
            </w:tcMar>
            <w:vAlign w:val="top"/>
            <w:shd w:fill="FFF7D6"/>
          </w:tcPr>
          <w:p>
            <w:pPr>
              <w:spacing w:after="0"/>
            </w:pPr>
            <w:r>
              <w:rPr>
                <w:i/>
                <w:color w:val="5B6973"/>
                <w:sz w:val="17"/>
              </w:rPr>
              <w:t>[Name or accountable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Applies to</w:t>
            </w:r>
          </w:p>
        </w:tc>
        <w:tc>
          <w:tcPr>
            <w:tcW w:type="dxa" w:w="4464000"/>
            <w:tcMar>
              <w:top w:w="95" w:type="dxa"/>
              <w:start w:w="115" w:type="dxa"/>
              <w:bottom w:w="95" w:type="dxa"/>
              <w:end w:w="115" w:type="dxa"/>
            </w:tcMar>
            <w:vAlign w:val="top"/>
            <w:shd w:fill="FFF7D6"/>
          </w:tcPr>
          <w:p>
            <w:pPr>
              <w:spacing w:after="0"/>
            </w:pPr>
            <w:r>
              <w:rPr>
                <w:i/>
                <w:color w:val="5B6973"/>
                <w:sz w:val="17"/>
              </w:rPr>
              <w:t>[Employees, contractors, volunteers, sites and business units]</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Approved AI contact</w:t>
            </w:r>
          </w:p>
        </w:tc>
        <w:tc>
          <w:tcPr>
            <w:tcW w:type="dxa" w:w="4464000"/>
            <w:tcMar>
              <w:top w:w="95" w:type="dxa"/>
              <w:start w:w="115" w:type="dxa"/>
              <w:bottom w:w="95" w:type="dxa"/>
              <w:end w:w="115" w:type="dxa"/>
            </w:tcMar>
            <w:vAlign w:val="top"/>
            <w:shd w:fill="FFF7D6"/>
          </w:tcPr>
          <w:p>
            <w:pPr>
              <w:spacing w:after="0"/>
            </w:pPr>
            <w:r>
              <w:rPr>
                <w:i/>
                <w:color w:val="5B6973"/>
                <w:sz w:val="17"/>
              </w:rPr>
              <w:t>[Where users ask before using an AI tool]</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Version / effective date</w:t>
            </w:r>
          </w:p>
        </w:tc>
        <w:tc>
          <w:tcPr>
            <w:tcW w:type="dxa" w:w="4464000"/>
            <w:tcMar>
              <w:top w:w="95" w:type="dxa"/>
              <w:start w:w="115" w:type="dxa"/>
              <w:bottom w:w="95" w:type="dxa"/>
              <w:end w:w="115" w:type="dxa"/>
            </w:tcMar>
            <w:vAlign w:val="top"/>
            <w:shd w:fill="FFF7D6"/>
          </w:tcPr>
          <w:p>
            <w:pPr>
              <w:spacing w:after="0"/>
            </w:pPr>
            <w:r>
              <w:rPr>
                <w:i/>
                <w:color w:val="5B6973"/>
                <w:sz w:val="17"/>
              </w:rPr>
              <w:t>[Version] — [DD/MM/YYYY]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trigger]</w:t>
            </w:r>
          </w:p>
        </w:tc>
      </w:tr>
    </w:tbl>
    <w:p>
      <w:pPr>
        <w:spacing w:after="0"/>
      </w:pPr>
    </w:p>
    <w:p>
      <w:pPr>
        <w:pStyle w:val="Heading1"/>
        <w:keepNext w:val="1"/>
        <w:keepLines/>
      </w:pPr>
      <w:r>
        <w:t>1. Purpose and scope</w:t>
      </w:r>
    </w:p>
    <w:p>
      <w:pPr>
        <w:keepLines/>
      </w:pPr>
      <w:r>
        <w:t>This policy helps protect people, organisation information and work quality by requiring AI tools and uses to be reviewed before they are used for organisation work. It applies to AI accessed through organisation or personal devices, accounts or subscriptions, including AI features built into other software.</w:t>
      </w:r>
    </w:p>
    <w:p>
      <w:pPr>
        <w:pStyle w:val="Heading1"/>
        <w:keepNext w:val="1"/>
        <w:keepLines/>
      </w:pPr>
      <w:r>
        <w:t>2. What shadow AI means</w:t>
      </w:r>
    </w:p>
    <w:p>
      <w:pPr>
        <w:keepLines/>
      </w:pPr>
      <w:r>
        <w:t>Shadow AI means using an AI tool, feature, account, connection or business use that has not been approved under the organisation's process. A familiar or publicly available tool is not automatically approved. Approval can be limited to a particular plan, account, setting, purpose, user group or information type.</w:t>
      </w:r>
    </w:p>
    <w:p>
      <w:pPr>
        <w:pStyle w:val="Heading1"/>
        <w:keepNext w:val="1"/>
        <w:keepLines/>
      </w:pPr>
      <w:r>
        <w:t>3. Organisation-specific rules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Approved tools / accounts</w:t>
            </w:r>
          </w:p>
        </w:tc>
        <w:tc>
          <w:tcPr>
            <w:tcW w:type="dxa" w:w="4464000"/>
            <w:tcMar>
              <w:top w:w="95" w:type="dxa"/>
              <w:start w:w="115" w:type="dxa"/>
              <w:bottom w:w="95" w:type="dxa"/>
              <w:end w:w="115" w:type="dxa"/>
            </w:tcMar>
            <w:vAlign w:val="top"/>
            <w:shd w:fill="FFF7D6"/>
          </w:tcPr>
          <w:p>
            <w:pPr>
              <w:spacing w:after="0"/>
            </w:pPr>
            <w:r>
              <w:rPr>
                <w:i/>
                <w:color w:val="5B6973"/>
                <w:sz w:val="17"/>
              </w:rPr>
              <w:t>[List or link to the current approved-tools register]</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Approved purposes</w:t>
            </w:r>
          </w:p>
        </w:tc>
        <w:tc>
          <w:tcPr>
            <w:tcW w:type="dxa" w:w="4464000"/>
            <w:tcMar>
              <w:top w:w="95" w:type="dxa"/>
              <w:start w:w="115" w:type="dxa"/>
              <w:bottom w:w="95" w:type="dxa"/>
              <w:end w:w="115" w:type="dxa"/>
            </w:tcMar>
            <w:vAlign w:val="top"/>
            <w:shd w:fill="FFF7D6"/>
          </w:tcPr>
          <w:p>
            <w:pPr>
              <w:spacing w:after="0"/>
            </w:pPr>
            <w:r>
              <w:rPr>
                <w:i/>
                <w:color w:val="5B6973"/>
                <w:sz w:val="17"/>
              </w:rPr>
              <w:t>[Describe permitted uses]</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Information that must not be entered</w:t>
            </w:r>
          </w:p>
        </w:tc>
        <w:tc>
          <w:tcPr>
            <w:tcW w:type="dxa" w:w="4464000"/>
            <w:tcMar>
              <w:top w:w="95" w:type="dxa"/>
              <w:start w:w="115" w:type="dxa"/>
              <w:bottom w:w="95" w:type="dxa"/>
              <w:end w:w="115" w:type="dxa"/>
            </w:tcMar>
            <w:vAlign w:val="top"/>
            <w:shd w:fill="FFF7D6"/>
          </w:tcPr>
          <w:p>
            <w:pPr>
              <w:spacing w:after="0"/>
            </w:pPr>
            <w:r>
              <w:rPr>
                <w:i/>
                <w:color w:val="5B6973"/>
                <w:sz w:val="17"/>
              </w:rPr>
              <w:t>[Personal, sensitive, confidential, client, employee, security or other restricted data]</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Uses requiring extra approval</w:t>
            </w:r>
          </w:p>
        </w:tc>
        <w:tc>
          <w:tcPr>
            <w:tcW w:type="dxa" w:w="4464000"/>
            <w:tcMar>
              <w:top w:w="95" w:type="dxa"/>
              <w:start w:w="115" w:type="dxa"/>
              <w:bottom w:w="95" w:type="dxa"/>
              <w:end w:w="115" w:type="dxa"/>
            </w:tcMar>
            <w:vAlign w:val="top"/>
            <w:shd w:fill="FFF7D6"/>
          </w:tcPr>
          <w:p>
            <w:pPr>
              <w:spacing w:after="0"/>
            </w:pPr>
            <w:r>
              <w:rPr>
                <w:i/>
                <w:color w:val="5B6973"/>
                <w:sz w:val="17"/>
              </w:rPr>
              <w:t>[Decisions about people, external publication, automated actions, coding, legal or safety work, etc.]</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Required records</w:t>
            </w:r>
          </w:p>
        </w:tc>
        <w:tc>
          <w:tcPr>
            <w:tcW w:type="dxa" w:w="4464000"/>
            <w:tcMar>
              <w:top w:w="95" w:type="dxa"/>
              <w:start w:w="115" w:type="dxa"/>
              <w:bottom w:w="95" w:type="dxa"/>
              <w:end w:w="115" w:type="dxa"/>
            </w:tcMar>
            <w:vAlign w:val="top"/>
            <w:shd w:fill="FFF7D6"/>
          </w:tcPr>
          <w:p>
            <w:pPr>
              <w:spacing w:after="0"/>
            </w:pPr>
            <w:r>
              <w:rPr>
                <w:i/>
                <w:color w:val="5B6973"/>
                <w:sz w:val="17"/>
              </w:rPr>
              <w:t>[Prompts, outputs, reviews, approvals or other records]</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Incident channel</w:t>
            </w:r>
          </w:p>
        </w:tc>
        <w:tc>
          <w:tcPr>
            <w:tcW w:type="dxa" w:w="4464000"/>
            <w:tcMar>
              <w:top w:w="95" w:type="dxa"/>
              <w:start w:w="115" w:type="dxa"/>
              <w:bottom w:w="95" w:type="dxa"/>
              <w:end w:w="115" w:type="dxa"/>
            </w:tcMar>
            <w:vAlign w:val="top"/>
            <w:shd w:fill="FFF7D6"/>
          </w:tcPr>
          <w:p>
            <w:pPr>
              <w:spacing w:after="0"/>
            </w:pPr>
            <w:r>
              <w:rPr>
                <w:i/>
                <w:color w:val="5B6973"/>
                <w:sz w:val="17"/>
              </w:rPr>
              <w:t>[Urgent and non-urgent reporting details]</w:t>
            </w:r>
          </w:p>
        </w:tc>
      </w:tr>
    </w:tbl>
    <w:p>
      <w:pPr>
        <w:spacing w:after="0"/>
      </w:pPr>
    </w:p>
    <w:p>
      <w:r>
        <w:br w:type="page"/>
      </w:r>
    </w:p>
    <w:p>
      <w:pPr>
        <w:pStyle w:val="Heading1"/>
        <w:keepNext w:val="1"/>
        <w:keepLines/>
      </w:pPr>
      <w:r>
        <w:t>4. Rules for workers</w:t>
      </w:r>
    </w:p>
    <w:p>
      <w:pPr>
        <w:keepLines/>
      </w:pPr>
      <w:r>
        <w:t>Workers must:</w:t>
      </w:r>
    </w:p>
    <w:p>
      <w:pPr>
        <w:spacing w:after="60"/>
        <w:ind w:left="57"/>
        <w:keepLines/>
      </w:pPr>
      <w:r>
        <w:rPr>
          <w:b/>
        </w:rPr>
        <w:t xml:space="preserve">☐  </w:t>
      </w:r>
      <w:r>
        <w:t>check the current approved-tools list and use only the approved account, plan, settings and purpose</w:t>
      </w:r>
    </w:p>
    <w:p>
      <w:pPr>
        <w:spacing w:after="60"/>
        <w:ind w:left="57"/>
        <w:keepLines/>
      </w:pPr>
      <w:r>
        <w:rPr>
          <w:b/>
        </w:rPr>
        <w:t xml:space="preserve">☐  </w:t>
      </w:r>
      <w:r>
        <w:t>ask the approved AI contact before trialling a new tool, plug-in, integration or materially different use</w:t>
      </w:r>
    </w:p>
    <w:p>
      <w:pPr>
        <w:spacing w:after="60"/>
        <w:ind w:left="57"/>
        <w:keepLines/>
      </w:pPr>
      <w:r>
        <w:rPr>
          <w:b/>
        </w:rPr>
        <w:t xml:space="preserve">☐  </w:t>
      </w:r>
      <w:r>
        <w:t>complete required training and follow privacy, security, confidentiality, records and intellectual-property rules</w:t>
      </w:r>
    </w:p>
    <w:p>
      <w:pPr>
        <w:spacing w:after="60"/>
        <w:ind w:left="57"/>
        <w:keepLines/>
      </w:pPr>
      <w:r>
        <w:rPr>
          <w:b/>
        </w:rPr>
        <w:t xml:space="preserve">☐  </w:t>
      </w:r>
      <w:r>
        <w:t>use the minimum information needed and do not enter restricted information into an unapproved service</w:t>
      </w:r>
    </w:p>
    <w:p>
      <w:pPr>
        <w:spacing w:after="60"/>
        <w:ind w:left="57"/>
        <w:keepLines/>
      </w:pPr>
      <w:r>
        <w:rPr>
          <w:b/>
        </w:rPr>
        <w:t xml:space="preserve">☐  </w:t>
      </w:r>
      <w:r>
        <w:t>critically review outputs for accuracy, bias, harmful content, confidentiality, copyright and fitness for purpose</w:t>
      </w:r>
    </w:p>
    <w:p>
      <w:pPr>
        <w:spacing w:after="60"/>
        <w:ind w:left="57"/>
        <w:keepLines/>
      </w:pPr>
      <w:r>
        <w:rPr>
          <w:b/>
        </w:rPr>
        <w:t xml:space="preserve">☐  </w:t>
      </w:r>
      <w:r>
        <w:t>apply meaningful human judgement and remain accountable for work submitted or decisions made</w:t>
      </w:r>
    </w:p>
    <w:p>
      <w:pPr>
        <w:spacing w:after="60"/>
        <w:ind w:left="57"/>
        <w:keepLines/>
      </w:pPr>
      <w:r>
        <w:rPr>
          <w:b/>
        </w:rPr>
        <w:t xml:space="preserve">☐  </w:t>
      </w:r>
      <w:r>
        <w:t>make required disclosures when content or interactions are AI-assisted</w:t>
      </w:r>
    </w:p>
    <w:p>
      <w:pPr>
        <w:spacing w:after="60"/>
        <w:ind w:left="57"/>
        <w:keepLines/>
      </w:pPr>
      <w:r>
        <w:rPr>
          <w:b/>
        </w:rPr>
        <w:t xml:space="preserve">☐  </w:t>
      </w:r>
      <w:r>
        <w:t>report mistakes, harmful outputs, data exposure, suspicious activity or unauthorised use promptly.</w:t>
      </w:r>
    </w:p>
    <w:p>
      <w:pPr>
        <w:keepLines/>
      </w:pPr>
      <w:r>
        <w:t>Workers must not:</w:t>
      </w:r>
    </w:p>
    <w:p>
      <w:pPr>
        <w:spacing w:after="60"/>
        <w:ind w:left="57"/>
        <w:keepLines/>
      </w:pPr>
      <w:r>
        <w:rPr>
          <w:b/>
        </w:rPr>
        <w:t xml:space="preserve">☐  </w:t>
      </w:r>
      <w:r>
        <w:t>use personal accounts or devices to bypass organisation controls</w:t>
      </w:r>
    </w:p>
    <w:p>
      <w:pPr>
        <w:spacing w:after="60"/>
        <w:ind w:left="57"/>
        <w:keepLines/>
      </w:pPr>
      <w:r>
        <w:rPr>
          <w:b/>
        </w:rPr>
        <w:t xml:space="preserve">☐  </w:t>
      </w:r>
      <w:r>
        <w:t>upload organisation, client, worker or third-party information unless the use and information type are approved</w:t>
      </w:r>
    </w:p>
    <w:p>
      <w:pPr>
        <w:spacing w:after="60"/>
        <w:ind w:left="57"/>
        <w:keepLines/>
      </w:pPr>
      <w:r>
        <w:rPr>
          <w:b/>
        </w:rPr>
        <w:t xml:space="preserve">☐  </w:t>
      </w:r>
      <w:r>
        <w:t>connect an AI service to email, files, code, systems or automated actions without approval</w:t>
      </w:r>
    </w:p>
    <w:p>
      <w:pPr>
        <w:spacing w:after="60"/>
        <w:ind w:left="57"/>
        <w:keepLines/>
      </w:pPr>
      <w:r>
        <w:rPr>
          <w:b/>
        </w:rPr>
        <w:t xml:space="preserve">☐  </w:t>
      </w:r>
      <w:r>
        <w:t>rely on AI as the sole basis for recruitment, performance, discipline, termination, safety or another significant decision about a person</w:t>
      </w:r>
    </w:p>
    <w:p>
      <w:pPr>
        <w:spacing w:after="60"/>
        <w:ind w:left="57"/>
        <w:keepLines/>
      </w:pPr>
      <w:r>
        <w:rPr>
          <w:b/>
        </w:rPr>
        <w:t xml:space="preserve">☐  </w:t>
      </w:r>
      <w:r>
        <w:t>represent an unverified output as fact, professional advice, an official record or an approved organisation position</w:t>
      </w:r>
    </w:p>
    <w:p>
      <w:pPr>
        <w:spacing w:after="60"/>
        <w:ind w:left="57"/>
        <w:keepLines/>
      </w:pPr>
      <w:r>
        <w:rPr>
          <w:b/>
        </w:rPr>
        <w:t xml:space="preserve">☐  </w:t>
      </w:r>
      <w:r>
        <w:t>use AI to deceive, impersonate, harass, discriminate, create unlawful material or evade security controls.</w:t>
      </w:r>
    </w:p>
    <w:p>
      <w:pPr>
        <w:pStyle w:val="Heading1"/>
        <w:keepNext w:val="1"/>
        <w:keepLines/>
      </w:pPr>
      <w:r>
        <w:t>5. Questions, reporting and support</w:t>
      </w:r>
    </w:p>
    <w:p>
      <w:pPr>
        <w:keepLines/>
      </w:pPr>
      <w:r>
        <w:t>If unsure, stop and ask before entering information or using an output. Prompt reporting helps the organisation contain harm and learn. Workers should not attempt to investigate a suspected cyber incident through a system that may be compromised.</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Approval questions</w:t>
            </w:r>
          </w:p>
        </w:tc>
        <w:tc>
          <w:tcPr>
            <w:tcW w:type="dxa" w:w="4464000"/>
            <w:tcMar>
              <w:top w:w="95" w:type="dxa"/>
              <w:start w:w="115" w:type="dxa"/>
              <w:bottom w:w="95" w:type="dxa"/>
              <w:end w:w="115" w:type="dxa"/>
            </w:tcMar>
            <w:vAlign w:val="top"/>
            <w:shd w:fill="FFF7D6"/>
          </w:tcPr>
          <w:p>
            <w:pPr>
              <w:spacing w:after="0"/>
            </w:pPr>
            <w:r>
              <w:rPr>
                <w:i/>
                <w:color w:val="5B6973"/>
                <w:sz w:val="17"/>
              </w:rPr>
              <w:t>[Contact and channel]</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Privacy, security or incident reporting</w:t>
            </w:r>
          </w:p>
        </w:tc>
        <w:tc>
          <w:tcPr>
            <w:tcW w:type="dxa" w:w="4464000"/>
            <w:tcMar>
              <w:top w:w="95" w:type="dxa"/>
              <w:start w:w="115" w:type="dxa"/>
              <w:bottom w:w="95" w:type="dxa"/>
              <w:end w:w="115" w:type="dxa"/>
            </w:tcMar>
            <w:vAlign w:val="top"/>
            <w:shd w:fill="FFF7D6"/>
          </w:tcPr>
          <w:p>
            <w:pPr>
              <w:spacing w:after="0"/>
            </w:pPr>
            <w:r>
              <w:rPr>
                <w:i/>
                <w:color w:val="5B6973"/>
                <w:sz w:val="17"/>
              </w:rPr>
              <w:t>[Urgent and non-urgent contacts]</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WHS, workload or wellbeing concerns</w:t>
            </w:r>
          </w:p>
        </w:tc>
        <w:tc>
          <w:tcPr>
            <w:tcW w:type="dxa" w:w="4464000"/>
            <w:tcMar>
              <w:top w:w="95" w:type="dxa"/>
              <w:start w:w="115" w:type="dxa"/>
              <w:bottom w:w="95" w:type="dxa"/>
              <w:end w:w="115" w:type="dxa"/>
            </w:tcMar>
            <w:vAlign w:val="top"/>
            <w:shd w:fill="FFF7D6"/>
          </w:tcPr>
          <w:p>
            <w:pPr>
              <w:spacing w:after="0"/>
            </w:pPr>
            <w:r>
              <w:rPr>
                <w:i/>
                <w:color w:val="5B6973"/>
                <w:sz w:val="17"/>
              </w:rPr>
              <w:t>[Contact, HSR or reporting channel]</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Confidential concern / grievance</w:t>
            </w:r>
          </w:p>
        </w:tc>
        <w:tc>
          <w:tcPr>
            <w:tcW w:type="dxa" w:w="4464000"/>
            <w:tcMar>
              <w:top w:w="95" w:type="dxa"/>
              <w:start w:w="115" w:type="dxa"/>
              <w:bottom w:w="95" w:type="dxa"/>
              <w:end w:w="115" w:type="dxa"/>
            </w:tcMar>
            <w:vAlign w:val="top"/>
            <w:shd w:fill="FFF7D6"/>
          </w:tcPr>
          <w:p>
            <w:pPr>
              <w:spacing w:after="0"/>
            </w:pPr>
            <w:r>
              <w:rPr>
                <w:i/>
                <w:color w:val="5B6973"/>
                <w:sz w:val="17"/>
              </w:rPr>
              <w:t>[Alternative or anonymous channel if available]</w:t>
            </w:r>
          </w:p>
        </w:tc>
      </w:tr>
    </w:tbl>
    <w:p>
      <w:pPr>
        <w:spacing w:after="0"/>
      </w:pPr>
    </w:p>
    <w:p>
      <w:pPr>
        <w:pStyle w:val="Heading1"/>
        <w:keepNext w:val="1"/>
        <w:keepLines/>
      </w:pPr>
      <w:r>
        <w:t>6. Monitoring and policy breaches</w:t>
      </w:r>
    </w:p>
    <w:p>
      <w:pPr>
        <w:keepLines/>
      </w:pPr>
      <w:r>
        <w:t>Any monitoring must be lawful, proportionate, secure and consistent with applicable privacy, surveillance, consultation and workplace requirements. The organisation should explain what is monitored, why, how information is used and who can access it, unless a lawful exception applies.</w:t>
      </w:r>
    </w:p>
    <w:p>
      <w:pPr>
        <w:keepLines/>
      </w:pPr>
      <w:r>
        <w:t>A suspected breach will be assessed on its facts using a fair process. The worker should be told the concern and given a reasonable opportunity to respond, with access to representation or a support person where applicable. Outcomes may include guidance, access changes, training, corrective action or disciplinary action. Dismissal and summary dismissal are not automatic and depend on the facts and applicable law, awards or enterprise agreements, contracts and policies. Obtain workplace-relations or legal advice before serious disciplinary action.</w:t>
      </w:r>
    </w:p>
    <w:p>
      <w:r>
        <w:br w:type="page"/>
      </w:r>
    </w:p>
    <w:p>
      <w:pPr>
        <w:pStyle w:val="Heading1"/>
        <w:keepNext w:val="1"/>
        <w:keepLines/>
      </w:pPr>
      <w:r>
        <w:t>7. Worker acknowledgement</w:t>
      </w:r>
    </w:p>
    <w:p>
      <w:pPr>
        <w:keepLines/>
      </w:pPr>
      <w:r>
        <w:t>By signing, I acknowledge that I received and had an opportunity to ask questions about this policy. I understand that approval applies only to the stated tools, accounts, settings and purposes; that I remain responsible for checking work produced with AI; and that I must promptly report concerns or incidents. My acknowledgement does not remove any workplace right or obligation.</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Worker name</w:t>
            </w:r>
          </w:p>
        </w:tc>
        <w:tc>
          <w:tcPr>
            <w:tcW w:type="dxa" w:w="4464000"/>
            <w:tcMar>
              <w:top w:w="95" w:type="dxa"/>
              <w:start w:w="115" w:type="dxa"/>
              <w:bottom w:w="95" w:type="dxa"/>
              <w:end w:w="115" w:type="dxa"/>
            </w:tcMar>
            <w:vAlign w:val="top"/>
            <w:shd w:fill="FFF7D6"/>
          </w:tcPr>
          <w:p>
            <w:pPr>
              <w:spacing w:after="0"/>
            </w:pPr>
            <w:r>
              <w:rPr>
                <w:i/>
                <w:color w:val="5B6973"/>
                <w:sz w:val="17"/>
              </w:rPr>
              <w:t>[Enter full name]</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Role / business area</w:t>
            </w:r>
          </w:p>
        </w:tc>
        <w:tc>
          <w:tcPr>
            <w:tcW w:type="dxa" w:w="4464000"/>
            <w:tcMar>
              <w:top w:w="95" w:type="dxa"/>
              <w:start w:w="115" w:type="dxa"/>
              <w:bottom w:w="95" w:type="dxa"/>
              <w:end w:w="115" w:type="dxa"/>
            </w:tcMar>
            <w:vAlign w:val="top"/>
            <w:shd w:fill="FFF7D6"/>
          </w:tcPr>
          <w:p>
            <w:pPr>
              <w:spacing w:after="0"/>
            </w:pPr>
            <w:r>
              <w:rPr>
                <w:i/>
                <w:color w:val="5B6973"/>
                <w:sz w:val="17"/>
              </w:rPr>
              <w:t>[Enter role and team]</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Policy version received</w:t>
            </w:r>
          </w:p>
        </w:tc>
        <w:tc>
          <w:tcPr>
            <w:tcW w:type="dxa" w:w="4464000"/>
            <w:tcMar>
              <w:top w:w="95" w:type="dxa"/>
              <w:start w:w="115" w:type="dxa"/>
              <w:bottom w:w="95" w:type="dxa"/>
              <w:end w:w="115" w:type="dxa"/>
            </w:tcMar>
            <w:vAlign w:val="top"/>
            <w:shd w:fill="FFF7D6"/>
          </w:tcPr>
          <w:p>
            <w:pPr>
              <w:spacing w:after="0"/>
            </w:pPr>
            <w:r>
              <w:rPr>
                <w:i/>
                <w:color w:val="5B6973"/>
                <w:sz w:val="17"/>
              </w:rPr>
              <w:t>[Version and date]</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Questions or agreed support</w:t>
            </w:r>
          </w:p>
        </w:tc>
        <w:tc>
          <w:tcPr>
            <w:tcW w:type="dxa" w:w="4464000"/>
            <w:tcMar>
              <w:top w:w="95" w:type="dxa"/>
              <w:start w:w="115" w:type="dxa"/>
              <w:bottom w:w="95" w:type="dxa"/>
              <w:end w:w="115" w:type="dxa"/>
            </w:tcMar>
            <w:vAlign w:val="top"/>
            <w:shd w:fill="FFF7D6"/>
          </w:tcPr>
          <w:p>
            <w:pPr>
              <w:spacing w:after="0"/>
            </w:pPr>
            <w:r>
              <w:rPr>
                <w:i/>
                <w:color w:val="5B6973"/>
                <w:sz w:val="17"/>
              </w:rPr>
              <w:t>[Record any question, accessibility need, training or follow-up]</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Worker signature / date</w:t>
            </w:r>
          </w:p>
        </w:tc>
        <w:tc>
          <w:tcPr>
            <w:tcW w:type="dxa" w:w="4464000"/>
            <w:tcMar>
              <w:top w:w="95" w:type="dxa"/>
              <w:start w:w="115" w:type="dxa"/>
              <w:bottom w:w="95" w:type="dxa"/>
              <w:end w:w="115" w:type="dxa"/>
            </w:tcMar>
            <w:vAlign w:val="top"/>
            <w:shd w:fill="FFF7D6"/>
          </w:tcPr>
          <w:p>
            <w:pPr>
              <w:spacing w:after="0"/>
            </w:pPr>
            <w:r>
              <w:rPr>
                <w:i/>
                <w:color w:val="5B6973"/>
                <w:sz w:val="17"/>
              </w:rPr>
              <w:t>[Signature] — [DD/MM/YYYY]</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Manager / witness / date</w:t>
            </w:r>
          </w:p>
        </w:tc>
        <w:tc>
          <w:tcPr>
            <w:tcW w:type="dxa" w:w="4464000"/>
            <w:tcMar>
              <w:top w:w="95" w:type="dxa"/>
              <w:start w:w="115" w:type="dxa"/>
              <w:bottom w:w="95" w:type="dxa"/>
              <w:end w:w="115" w:type="dxa"/>
            </w:tcMar>
            <w:vAlign w:val="top"/>
            <w:shd w:fill="FFF7D6"/>
          </w:tcPr>
          <w:p>
            <w:pPr>
              <w:spacing w:after="0"/>
            </w:pPr>
            <w:r>
              <w:rPr>
                <w:i/>
                <w:color w:val="5B6973"/>
                <w:sz w:val="17"/>
              </w:rPr>
              <w:t>[Name and signature if required by organisation process]</w:t>
            </w:r>
          </w:p>
        </w:tc>
      </w:tr>
    </w:tbl>
    <w:p>
      <w:pPr>
        <w:spacing w:after="0"/>
      </w:pPr>
    </w:p>
    <w:p>
      <w:pPr>
        <w:pStyle w:val="Heading1"/>
        <w:keepNext w:val="1"/>
        <w:keepLines/>
      </w:pP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National AI Centre — Guidance for AI adoption: implementation guidance</w:t>
        </w:r>
      </w:hyperlink>
    </w:p>
    <w:p>
      <w:pPr>
        <w:pStyle w:val="ListBullet"/>
        <w:spacing w:after="10"/>
      </w:pPr>
      <w:hyperlink r:id="rId12">
        <w:r>
          <w:rPr>
            <w:color w:val="176B87"/>
            <w:u w:val="single"/>
          </w:rPr>
          <w:t>OAIC — Guidance on privacy and the use of commercially available AI products</w:t>
        </w:r>
      </w:hyperlink>
    </w:p>
    <w:p>
      <w:pPr>
        <w:pStyle w:val="ListBullet"/>
        <w:spacing w:after="10"/>
      </w:pPr>
      <w:hyperlink r:id="rId13">
        <w:r>
          <w:rPr>
            <w:color w:val="176B87"/>
            <w:u w:val="single"/>
          </w:rPr>
          <w:t>Safe Work Australia — Artificial intelligence and digital technologies</w:t>
        </w:r>
      </w:hyperlink>
    </w:p>
    <w:p>
      <w:pPr>
        <w:pStyle w:val="ListBullet"/>
        <w:spacing w:after="10"/>
      </w:pPr>
      <w:hyperlink r:id="rId14">
        <w:r>
          <w:rPr>
            <w:color w:val="176B87"/>
            <w:u w:val="single"/>
          </w:rPr>
          <w:t>Fair Work Ombudsman — Unfair dismissal</w:t>
        </w:r>
      </w:hyperlink>
    </w:p>
    <w:p>
      <w:pPr>
        <w:pStyle w:val="ListBullet"/>
        <w:spacing w:after="10"/>
      </w:pPr>
      <w:hyperlink r:id="rId15">
        <w:r>
          <w:rPr>
            <w:color w:val="176B87"/>
            <w:u w:val="single"/>
          </w:rPr>
          <w:t>Fair Work Ombudsman — Managing underperformance</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Shadow AI policy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guidance-ai-adoption-implementation-guidance" TargetMode="External"/><Relationship Id="rId12" Type="http://schemas.openxmlformats.org/officeDocument/2006/relationships/hyperlink" Target="https://www.oaic.gov.au/privacy/privacy-guidance-for-organisations-and-government-agencies/guidance-on-privacy-and-the-use-of-commercially-available-ai-products" TargetMode="External"/><Relationship Id="rId13" Type="http://schemas.openxmlformats.org/officeDocument/2006/relationships/hyperlink" Target="https://www.safeworkaustralia.gov.au/safety-topic/hazards/digital-technologies-ai" TargetMode="External"/><Relationship Id="rId14" Type="http://schemas.openxmlformats.org/officeDocument/2006/relationships/hyperlink" Target="https://www.fairwork.gov.au/ending-employment/unfair-dismissal" TargetMode="External"/><Relationship Id="rId15" Type="http://schemas.openxmlformats.org/officeDocument/2006/relationships/hyperlink" Target="https://www.fairwork.gov.au/tools-and-resources/best-practice-guides/managing-underper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Shadow AI policy and worker acknowledgement</dc:title>
  <dc:subject>Set employee rules for unapproved AI use and record acknowledgement</dc:subject>
  <dc:creator>Workplace AI Governance</dc:creator>
  <cp:keywords>shadow AI, employee acknowledgement, workplace policy, Australia, generative AI</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